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EA7B394" w14:textId="2DC99413" w:rsidR="000B2F02" w:rsidRPr="000B2F02" w:rsidRDefault="000B2F02" w:rsidP="000B2F02">
      <w:pPr>
        <w:pStyle w:val="a6"/>
        <w:spacing w:before="490" w:line="276" w:lineRule="auto"/>
        <w:rPr>
          <w:rFonts w:ascii="Arial" w:hAnsi="Arial" w:cs="Arial"/>
          <w:color w:val="EB7000"/>
          <w:sz w:val="48"/>
          <w:szCs w:val="48"/>
        </w:rPr>
      </w:pPr>
      <w:r w:rsidRPr="000B2F02">
        <w:rPr>
          <w:rFonts w:ascii="Arial" w:hAnsi="Arial" w:cs="Arial"/>
          <w:color w:val="EB7000"/>
          <w:sz w:val="48"/>
          <w:szCs w:val="48"/>
        </w:rPr>
        <w:t>NATIONAL DEFENSE</w:t>
      </w:r>
      <w:r>
        <w:rPr>
          <w:rFonts w:ascii="Arial" w:hAnsi="Arial" w:cs="Arial"/>
          <w:color w:val="EB7000"/>
          <w:sz w:val="48"/>
          <w:szCs w:val="48"/>
        </w:rPr>
        <w:br/>
      </w:r>
      <w:r w:rsidRPr="000B2F02">
        <w:rPr>
          <w:rFonts w:ascii="Arial" w:hAnsi="Arial" w:cs="Arial"/>
          <w:color w:val="EB7000"/>
          <w:sz w:val="48"/>
          <w:szCs w:val="48"/>
        </w:rPr>
        <w:t>AUTHORIZATION ACT 2019</w:t>
      </w:r>
      <w:r w:rsidRPr="000B2F02">
        <w:rPr>
          <w:rFonts w:ascii="Arial" w:hAnsi="Arial" w:cs="Arial"/>
          <w:color w:val="EB7000"/>
          <w:sz w:val="48"/>
          <w:szCs w:val="48"/>
        </w:rPr>
        <w:br/>
        <w:t>(SECTION 889)</w:t>
      </w:r>
    </w:p>
    <w:p w14:paraId="7FD36AD8" w14:textId="2942794A" w:rsidR="000B2F02" w:rsidRDefault="000B2F02" w:rsidP="000B2F02"/>
    <w:p w14:paraId="7633E44C" w14:textId="77777777" w:rsidR="000B2F02" w:rsidRDefault="000B2F02" w:rsidP="000B2F02"/>
    <w:p w14:paraId="3D6BC887" w14:textId="6AF8B1A4" w:rsidR="000B2F02" w:rsidRPr="000B2F02" w:rsidRDefault="000B2F02" w:rsidP="000B2F02">
      <w:pPr>
        <w:spacing w:line="288" w:lineRule="auto"/>
        <w:rPr>
          <w:b/>
          <w:bCs/>
          <w:sz w:val="40"/>
          <w:szCs w:val="40"/>
        </w:rPr>
      </w:pPr>
      <w:r w:rsidRPr="000B2F02">
        <w:rPr>
          <w:b/>
          <w:bCs/>
          <w:sz w:val="40"/>
          <w:szCs w:val="40"/>
        </w:rPr>
        <w:t>Overview of NDAA section 889</w:t>
      </w:r>
    </w:p>
    <w:p w14:paraId="58B71699" w14:textId="77777777" w:rsidR="000B2F02" w:rsidRPr="000B2F02" w:rsidRDefault="000B2F02" w:rsidP="000B2F02">
      <w:pPr>
        <w:spacing w:line="288" w:lineRule="auto"/>
      </w:pPr>
      <w:r w:rsidRPr="000B2F02">
        <w:t>The US NDAA (National Defense Authorization Act) section 889 went into effect on August 13, 2020. It puts heavy sanctions on video surveillance and telecommunications equipment or services produced or provided by entities (or any subsidiary or affiliate of such entities) covered in the section.</w:t>
      </w:r>
    </w:p>
    <w:p w14:paraId="6DF50E82" w14:textId="77777777" w:rsidR="008E79C0" w:rsidRDefault="000B2F02" w:rsidP="000B2F02">
      <w:pPr>
        <w:spacing w:line="288" w:lineRule="auto"/>
      </w:pPr>
      <w:r w:rsidRPr="000B2F02">
        <w:t xml:space="preserve">This section outlines the prohibited use of certain video surveillance, telecom- </w:t>
      </w:r>
      <w:proofErr w:type="spellStart"/>
      <w:r w:rsidRPr="000B2F02">
        <w:t>munications</w:t>
      </w:r>
      <w:proofErr w:type="spellEnd"/>
      <w:r w:rsidRPr="000B2F02">
        <w:t xml:space="preserve"> services, equipment and components manufactured by specific vendors. For our partners and customers, these regulations can affect interna- </w:t>
      </w:r>
      <w:proofErr w:type="spellStart"/>
      <w:r w:rsidRPr="000B2F02">
        <w:t>tional</w:t>
      </w:r>
      <w:proofErr w:type="spellEnd"/>
      <w:r w:rsidRPr="000B2F02">
        <w:t xml:space="preserve"> supply chains, GSA contracts and even currently deployed technologies, especially if the </w:t>
      </w:r>
      <w:proofErr w:type="spellStart"/>
      <w:r w:rsidRPr="000B2F02">
        <w:t>cust</w:t>
      </w:r>
      <w:proofErr w:type="spellEnd"/>
    </w:p>
    <w:p w14:paraId="72D5EDE2" w14:textId="71EEB726" w:rsidR="000B2F02" w:rsidRDefault="000B2F02" w:rsidP="000B2F02">
      <w:pPr>
        <w:spacing w:line="288" w:lineRule="auto"/>
      </w:pPr>
      <w:proofErr w:type="spellStart"/>
      <w:r w:rsidRPr="000B2F02">
        <w:t>omer</w:t>
      </w:r>
      <w:proofErr w:type="spellEnd"/>
      <w:r w:rsidRPr="000B2F02">
        <w:t xml:space="preserve"> is a U.S. government-related agency.</w:t>
      </w:r>
    </w:p>
    <w:p w14:paraId="58B36EBE" w14:textId="3FCA1E56" w:rsidR="000B2F02" w:rsidRDefault="000B2F02" w:rsidP="000B2F02"/>
    <w:p w14:paraId="47FAA448" w14:textId="77777777" w:rsidR="000B2F02" w:rsidRDefault="000B2F02" w:rsidP="000B2F02"/>
    <w:p w14:paraId="62DBA0B7" w14:textId="1413DA89" w:rsidR="000B2F02" w:rsidRPr="008E79C0" w:rsidRDefault="000B2F02" w:rsidP="000B2F02">
      <w:pPr>
        <w:spacing w:line="288" w:lineRule="auto"/>
      </w:pPr>
      <w:r w:rsidRPr="008E79C0">
        <w:rPr>
          <w:rFonts w:ascii="한화 L" w:eastAsia="한화 L" w:hAnsi="한화 L"/>
          <w:b/>
          <w:sz w:val="30"/>
        </w:rPr>
        <w:t>Hanwha Vision</w:t>
      </w:r>
      <w:r w:rsidRPr="008E79C0">
        <w:rPr>
          <w:b/>
          <w:sz w:val="35"/>
        </w:rPr>
        <w:t>,</w:t>
      </w:r>
    </w:p>
    <w:p w14:paraId="57F7B4F0" w14:textId="77777777" w:rsidR="000B2F02" w:rsidRPr="008E79C0" w:rsidRDefault="000B2F02" w:rsidP="000B2F02">
      <w:pPr>
        <w:pStyle w:val="a7"/>
        <w:numPr>
          <w:ilvl w:val="0"/>
          <w:numId w:val="3"/>
        </w:numPr>
        <w:tabs>
          <w:tab w:val="left" w:pos="303"/>
        </w:tabs>
        <w:spacing w:before="137" w:line="288" w:lineRule="auto"/>
        <w:ind w:right="329"/>
        <w:rPr>
          <w:rFonts w:ascii="Arial" w:hAnsi="Arial" w:cs="Arial"/>
        </w:rPr>
      </w:pPr>
      <w:r w:rsidRPr="008E79C0">
        <w:rPr>
          <w:rFonts w:ascii="Arial" w:hAnsi="Arial" w:cs="Arial"/>
        </w:rPr>
        <w:t>Our top priority is being a good partner to its customers, dealers and system integrators.</w:t>
      </w:r>
    </w:p>
    <w:p w14:paraId="49FE3782" w14:textId="77777777" w:rsidR="000B2F02" w:rsidRPr="008E79C0" w:rsidRDefault="000B2F02" w:rsidP="000B2F02">
      <w:pPr>
        <w:pStyle w:val="a7"/>
        <w:numPr>
          <w:ilvl w:val="0"/>
          <w:numId w:val="3"/>
        </w:numPr>
        <w:tabs>
          <w:tab w:val="left" w:pos="303"/>
        </w:tabs>
        <w:spacing w:before="137" w:line="288" w:lineRule="auto"/>
        <w:ind w:right="329"/>
        <w:rPr>
          <w:rFonts w:ascii="Arial" w:hAnsi="Arial" w:cs="Arial"/>
        </w:rPr>
      </w:pPr>
      <w:r w:rsidRPr="008E79C0">
        <w:rPr>
          <w:rFonts w:ascii="Arial" w:hAnsi="Arial" w:cs="Arial"/>
        </w:rPr>
        <w:t xml:space="preserve">All </w:t>
      </w:r>
      <w:r w:rsidRPr="008E79C0">
        <w:rPr>
          <w:rFonts w:ascii="Arial" w:hAnsi="Arial" w:cs="Arial"/>
          <w:b/>
        </w:rPr>
        <w:t xml:space="preserve">Hanwha Vision </w:t>
      </w:r>
      <w:r w:rsidRPr="008E79C0">
        <w:rPr>
          <w:rFonts w:ascii="Arial" w:hAnsi="Arial" w:cs="Arial"/>
        </w:rPr>
        <w:t>manufacturing facilities are located in Vietnam and South Korea, making them compliant with Trade Agreements Act (TAA) terms.</w:t>
      </w:r>
    </w:p>
    <w:p w14:paraId="4332C19A" w14:textId="43205233" w:rsidR="000B2F02" w:rsidRPr="008E79C0" w:rsidRDefault="000B2F02" w:rsidP="000B2F02">
      <w:pPr>
        <w:pStyle w:val="a7"/>
        <w:numPr>
          <w:ilvl w:val="0"/>
          <w:numId w:val="3"/>
        </w:numPr>
        <w:tabs>
          <w:tab w:val="left" w:pos="303"/>
        </w:tabs>
        <w:spacing w:before="137" w:line="288" w:lineRule="auto"/>
        <w:ind w:right="329"/>
        <w:rPr>
          <w:rFonts w:ascii="Arial" w:hAnsi="Arial" w:cs="Arial"/>
        </w:rPr>
      </w:pPr>
      <w:r w:rsidRPr="008E79C0">
        <w:rPr>
          <w:rFonts w:ascii="Arial" w:hAnsi="Arial" w:cs="Arial"/>
          <w:b/>
        </w:rPr>
        <w:t xml:space="preserve">Hanwha Vision </w:t>
      </w:r>
      <w:r w:rsidRPr="008E79C0">
        <w:rPr>
          <w:rFonts w:ascii="Arial" w:hAnsi="Arial" w:cs="Arial"/>
        </w:rPr>
        <w:t>is committed to complying with all government and international trade regulation supporting NDAA-compliant devices.</w:t>
      </w:r>
    </w:p>
    <w:p w14:paraId="0D39F6A2" w14:textId="757D2C3B" w:rsidR="000B2F02" w:rsidRDefault="000B2F02" w:rsidP="000B2F02"/>
    <w:p w14:paraId="5E16B79C" w14:textId="77777777" w:rsidR="000B2F02" w:rsidRPr="000B2F02" w:rsidRDefault="000B2F02" w:rsidP="000B2F02"/>
    <w:p w14:paraId="59E06389" w14:textId="10576D71" w:rsidR="000B2F02" w:rsidRDefault="000B2F02" w:rsidP="000B2F02">
      <w:pPr>
        <w:spacing w:line="288" w:lineRule="auto"/>
        <w:rPr>
          <w:b/>
          <w:bCs/>
          <w:sz w:val="40"/>
          <w:szCs w:val="40"/>
        </w:rPr>
      </w:pPr>
      <w:r w:rsidRPr="000B2F02">
        <w:rPr>
          <w:b/>
          <w:bCs/>
          <w:sz w:val="40"/>
          <w:szCs w:val="40"/>
        </w:rPr>
        <w:t>More about NDAA section 889</w:t>
      </w:r>
    </w:p>
    <w:p w14:paraId="2B57251A" w14:textId="7F00B9AF" w:rsidR="000B2F02" w:rsidRPr="000B2F02" w:rsidRDefault="000B2F02" w:rsidP="000B2F02">
      <w:pPr>
        <w:spacing w:line="288" w:lineRule="auto"/>
        <w:rPr>
          <w:b/>
          <w:bCs/>
          <w:sz w:val="40"/>
          <w:szCs w:val="40"/>
        </w:rPr>
      </w:pPr>
      <w:r w:rsidRPr="000B2F02">
        <w:t>NDAA (National Defense Authorization Act) Public Law 115-232, SEC. 889. “Prohibition on certain telecommunications and video surveillance services or equipment.”</w:t>
      </w:r>
    </w:p>
    <w:p w14:paraId="7F8BFB56" w14:textId="77777777" w:rsidR="000B2F02" w:rsidRPr="000B2F02" w:rsidRDefault="000B2F02" w:rsidP="000B2F02">
      <w:pPr>
        <w:spacing w:line="288" w:lineRule="auto"/>
      </w:pPr>
    </w:p>
    <w:p w14:paraId="65ABAD89" w14:textId="74E03B61" w:rsidR="000B2F02" w:rsidRDefault="008E79C0" w:rsidP="000B2F02">
      <w:pPr>
        <w:spacing w:line="288" w:lineRule="auto"/>
        <w:rPr>
          <w:color w:val="414042"/>
        </w:rPr>
      </w:pPr>
      <w:hyperlink r:id="rId7">
        <w:r w:rsidR="000B2F02" w:rsidRPr="000B2F02">
          <w:rPr>
            <w:color w:val="0562C1"/>
            <w:u w:val="single" w:color="0562C1"/>
          </w:rPr>
          <w:t>Code of Federal Regulations</w:t>
        </w:r>
      </w:hyperlink>
      <w:r w:rsidR="000B2F02" w:rsidRPr="000B2F02">
        <w:rPr>
          <w:color w:val="0562C1"/>
        </w:rPr>
        <w:t xml:space="preserve"> </w:t>
      </w:r>
      <w:r w:rsidR="000B2F02" w:rsidRPr="000B2F02">
        <w:rPr>
          <w:color w:val="414042"/>
        </w:rPr>
        <w:t>for summary of the NDAA section 889</w:t>
      </w:r>
    </w:p>
    <w:p w14:paraId="5952DC6B" w14:textId="2CED9F17" w:rsidR="000B2F02" w:rsidRPr="000B2F02" w:rsidRDefault="008E79C0" w:rsidP="000B2F02">
      <w:pPr>
        <w:spacing w:line="288" w:lineRule="auto"/>
        <w:rPr>
          <w:color w:val="414042"/>
        </w:rPr>
      </w:pPr>
      <w:hyperlink r:id="rId8" w:history="1">
        <w:r w:rsidR="000B2F02" w:rsidRPr="000B2F02">
          <w:rPr>
            <w:rStyle w:val="a8"/>
          </w:rPr>
          <w:t>Public Law 115-232</w:t>
        </w:r>
      </w:hyperlink>
      <w:r w:rsidR="000B2F02" w:rsidRPr="000B2F02">
        <w:rPr>
          <w:color w:val="414042"/>
        </w:rPr>
        <w:t>, section 889 for additional information</w:t>
      </w:r>
    </w:p>
    <w:p w14:paraId="43431F22" w14:textId="65357904" w:rsidR="000B2F02" w:rsidRDefault="000B2F02" w:rsidP="000B2F02">
      <w:pPr>
        <w:rPr>
          <w:rFonts w:eastAsiaTheme="minorEastAsia"/>
          <w:lang w:eastAsia="ko-KR"/>
        </w:rPr>
      </w:pPr>
    </w:p>
    <w:p w14:paraId="4F708297" w14:textId="77777777" w:rsidR="000B2F02" w:rsidRPr="000B2F02" w:rsidRDefault="000B2F02" w:rsidP="000B2F02">
      <w:pPr>
        <w:rPr>
          <w:rFonts w:eastAsiaTheme="minorEastAsia"/>
          <w:lang w:eastAsia="ko-KR"/>
        </w:rPr>
      </w:pPr>
    </w:p>
    <w:p w14:paraId="3DEE1A6B" w14:textId="48C88992" w:rsidR="000B2F02" w:rsidRPr="000B2F02" w:rsidRDefault="008E79C0" w:rsidP="000B2F02">
      <w:pPr>
        <w:rPr>
          <w:b/>
          <w:bCs/>
          <w:sz w:val="24"/>
          <w:szCs w:val="24"/>
        </w:rPr>
      </w:pPr>
      <w:hyperlink r:id="rId9" w:history="1">
        <w:r w:rsidR="000B2F02" w:rsidRPr="000B2F02">
          <w:rPr>
            <w:rStyle w:val="a8"/>
            <w:b/>
            <w:bCs/>
            <w:sz w:val="24"/>
            <w:szCs w:val="24"/>
          </w:rPr>
          <w:t>Explore the list of NDAA Compliant products.</w:t>
        </w:r>
      </w:hyperlink>
    </w:p>
    <w:sectPr w:rsidR="000B2F02" w:rsidRPr="000B2F02" w:rsidSect="000B2F02">
      <w:headerReference w:type="default" r:id="rId10"/>
      <w:pgSz w:w="11906" w:h="16838"/>
      <w:pgMar w:top="1701" w:right="1440" w:bottom="1440" w:left="1440" w:header="510" w:footer="907" w:gutter="0"/>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534E10A" w14:textId="77777777" w:rsidR="000B2F02" w:rsidRDefault="000B2F02" w:rsidP="000B2F02">
      <w:r>
        <w:separator/>
      </w:r>
    </w:p>
  </w:endnote>
  <w:endnote w:type="continuationSeparator" w:id="0">
    <w:p w14:paraId="537740CB" w14:textId="77777777" w:rsidR="000B2F02" w:rsidRDefault="000B2F02" w:rsidP="000B2F0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altName w:val="Trebuchet MS"/>
    <w:panose1 w:val="020B0603020202020204"/>
    <w:charset w:val="00"/>
    <w:family w:val="swiss"/>
    <w:pitch w:val="variable"/>
    <w:sig w:usb0="00000687" w:usb1="00000000" w:usb2="00000000" w:usb3="00000000" w:csb0="0000009F" w:csb1="00000000"/>
  </w:font>
  <w:font w:name="맑은 고딕">
    <w:panose1 w:val="020B0503020000020004"/>
    <w:charset w:val="81"/>
    <w:family w:val="modern"/>
    <w:pitch w:val="variable"/>
    <w:sig w:usb0="9000002F" w:usb1="29D77CFB" w:usb2="00000012" w:usb3="00000000" w:csb0="00080001"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한화 L">
    <w:panose1 w:val="02020503020101020101"/>
    <w:charset w:val="81"/>
    <w:family w:val="roman"/>
    <w:pitch w:val="variable"/>
    <w:sig w:usb0="800002A7" w:usb1="39D7FCFB" w:usb2="00000014" w:usb3="00000000" w:csb0="00080003"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EB057C8" w14:textId="77777777" w:rsidR="000B2F02" w:rsidRDefault="000B2F02" w:rsidP="000B2F02">
      <w:r>
        <w:separator/>
      </w:r>
    </w:p>
  </w:footnote>
  <w:footnote w:type="continuationSeparator" w:id="0">
    <w:p w14:paraId="170C8E6B" w14:textId="77777777" w:rsidR="000B2F02" w:rsidRDefault="000B2F02" w:rsidP="000B2F0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F8BB003" w14:textId="49FE7B26" w:rsidR="000B2F02" w:rsidRDefault="000B2F02" w:rsidP="000B2F02">
    <w:pPr>
      <w:pStyle w:val="a3"/>
      <w:jc w:val="right"/>
    </w:pPr>
    <w:r>
      <w:rPr>
        <w:noProof/>
      </w:rPr>
      <w:drawing>
        <wp:anchor distT="0" distB="0" distL="114300" distR="114300" simplePos="0" relativeHeight="251660288" behindDoc="0" locked="0" layoutInCell="1" allowOverlap="1" wp14:anchorId="3D98A031" wp14:editId="31CE7B1F">
          <wp:simplePos x="0" y="0"/>
          <wp:positionH relativeFrom="column">
            <wp:posOffset>4004144</wp:posOffset>
          </wp:positionH>
          <wp:positionV relativeFrom="paragraph">
            <wp:posOffset>-36635</wp:posOffset>
          </wp:positionV>
          <wp:extent cx="2324607" cy="662354"/>
          <wp:effectExtent l="0" t="0" r="0" b="0"/>
          <wp:wrapNone/>
          <wp:docPr id="1" name="그림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그림 1"/>
                  <pic:cNvPicPr/>
                </pic:nvPicPr>
                <pic:blipFill>
                  <a:blip r:embed="rId1">
                    <a:extLst>
                      <a:ext uri="{28A0092B-C50C-407E-A947-70E740481C1C}">
                        <a14:useLocalDpi xmlns:a14="http://schemas.microsoft.com/office/drawing/2010/main" val="0"/>
                      </a:ext>
                    </a:extLst>
                  </a:blip>
                  <a:stretch>
                    <a:fillRect/>
                  </a:stretch>
                </pic:blipFill>
                <pic:spPr>
                  <a:xfrm>
                    <a:off x="0" y="0"/>
                    <a:ext cx="2333033" cy="664755"/>
                  </a:xfrm>
                  <a:prstGeom prst="rect">
                    <a:avLst/>
                  </a:prstGeom>
                </pic:spPr>
              </pic:pic>
            </a:graphicData>
          </a:graphic>
          <wp14:sizeRelH relativeFrom="page">
            <wp14:pctWidth>0</wp14:pctWidth>
          </wp14:sizeRelH>
          <wp14:sizeRelV relativeFrom="page">
            <wp14:pctHeight>0</wp14:pctHeight>
          </wp14:sizeRelV>
        </wp:anchor>
      </w:drawing>
    </w:r>
    <w:r>
      <w:rPr>
        <w:noProof/>
      </w:rPr>
      <mc:AlternateContent>
        <mc:Choice Requires="wpg">
          <w:drawing>
            <wp:anchor distT="0" distB="0" distL="0" distR="0" simplePos="0" relativeHeight="251659264" behindDoc="1" locked="0" layoutInCell="1" allowOverlap="1" wp14:anchorId="0D5E2886" wp14:editId="44152309">
              <wp:simplePos x="0" y="0"/>
              <wp:positionH relativeFrom="page">
                <wp:posOffset>0</wp:posOffset>
              </wp:positionH>
              <wp:positionV relativeFrom="page">
                <wp:posOffset>4933</wp:posOffset>
              </wp:positionV>
              <wp:extent cx="7560945" cy="109855"/>
              <wp:effectExtent l="0" t="0" r="1905" b="4445"/>
              <wp:wrapNone/>
              <wp:docPr id="11" name="Group 1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560945" cy="109855"/>
                        <a:chOff x="0" y="0"/>
                        <a:chExt cx="7560945" cy="109855"/>
                      </a:xfrm>
                    </wpg:grpSpPr>
                    <wps:wsp>
                      <wps:cNvPr id="12" name="Graphic 12"/>
                      <wps:cNvSpPr/>
                      <wps:spPr>
                        <a:xfrm>
                          <a:off x="1323393" y="0"/>
                          <a:ext cx="6237605" cy="109855"/>
                        </a:xfrm>
                        <a:custGeom>
                          <a:avLst/>
                          <a:gdLst/>
                          <a:ahLst/>
                          <a:cxnLst/>
                          <a:rect l="l" t="t" r="r" b="b"/>
                          <a:pathLst>
                            <a:path w="6237605" h="109855">
                              <a:moveTo>
                                <a:pt x="6237160" y="0"/>
                              </a:moveTo>
                              <a:lnTo>
                                <a:pt x="0" y="0"/>
                              </a:lnTo>
                              <a:lnTo>
                                <a:pt x="109410" y="109410"/>
                              </a:lnTo>
                              <a:lnTo>
                                <a:pt x="6237160" y="109410"/>
                              </a:lnTo>
                              <a:lnTo>
                                <a:pt x="6237160" y="0"/>
                              </a:lnTo>
                              <a:close/>
                            </a:path>
                          </a:pathLst>
                        </a:custGeom>
                        <a:solidFill>
                          <a:srgbClr val="221815"/>
                        </a:solidFill>
                      </wps:spPr>
                      <wps:bodyPr wrap="square" lIns="0" tIns="0" rIns="0" bIns="0" rtlCol="0">
                        <a:prstTxWarp prst="textNoShape">
                          <a:avLst/>
                        </a:prstTxWarp>
                        <a:noAutofit/>
                      </wps:bodyPr>
                    </wps:wsp>
                    <wps:wsp>
                      <wps:cNvPr id="13" name="Graphic 13"/>
                      <wps:cNvSpPr/>
                      <wps:spPr>
                        <a:xfrm>
                          <a:off x="0" y="0"/>
                          <a:ext cx="1433195" cy="109855"/>
                        </a:xfrm>
                        <a:custGeom>
                          <a:avLst/>
                          <a:gdLst/>
                          <a:ahLst/>
                          <a:cxnLst/>
                          <a:rect l="l" t="t" r="r" b="b"/>
                          <a:pathLst>
                            <a:path w="1433195" h="109855">
                              <a:moveTo>
                                <a:pt x="1323352" y="0"/>
                              </a:moveTo>
                              <a:lnTo>
                                <a:pt x="0" y="0"/>
                              </a:lnTo>
                              <a:lnTo>
                                <a:pt x="0" y="109410"/>
                              </a:lnTo>
                              <a:lnTo>
                                <a:pt x="1432699" y="109410"/>
                              </a:lnTo>
                              <a:lnTo>
                                <a:pt x="1323352" y="0"/>
                              </a:lnTo>
                              <a:close/>
                            </a:path>
                          </a:pathLst>
                        </a:custGeom>
                        <a:solidFill>
                          <a:srgbClr val="EB7000"/>
                        </a:solidFill>
                      </wps:spPr>
                      <wps:bodyPr wrap="square" lIns="0" tIns="0" rIns="0" bIns="0" rtlCol="0">
                        <a:prstTxWarp prst="textNoShape">
                          <a:avLst/>
                        </a:prstTxWarp>
                        <a:noAutofit/>
                      </wps:bodyPr>
                    </wps:wsp>
                  </wpg:wgp>
                </a:graphicData>
              </a:graphic>
            </wp:anchor>
          </w:drawing>
        </mc:Choice>
        <mc:Fallback>
          <w:pict>
            <v:group w14:anchorId="6F2442F8" id="Group 11" o:spid="_x0000_s1026" style="position:absolute;left:0;text-align:left;margin-left:0;margin-top:.4pt;width:595.35pt;height:8.65pt;z-index:-251657216;mso-wrap-distance-left:0;mso-wrap-distance-right:0;mso-position-horizontal-relative:page;mso-position-vertical-relative:page" coordsize="75609,109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">
              <v:shape id="Graphic 12" o:spid="_x0000_s1027" style="position:absolute;left:13233;width:62376;height:1098;visibility:visible;mso-wrap-style:square;v-text-anchor:top" coordsize="6237605,1098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" path="m6237160,l,,109410,109410r6127750,l6237160,xe" fillcolor="#221815" stroked="f">
                <v:path arrowok="t"/>
              </v:shape>
              <v:shape id="Graphic 13" o:spid="_x0000_s1028" style="position:absolute;width:14331;height:1098;visibility:visible;mso-wrap-style:square;v-text-anchor:top" coordsize="1433195,1098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" path="m1323352,l,,,109410r1432699,l1323352,xe" fillcolor="#eb7000" stroked="f">
                <v:path arrowok="t"/>
              </v:shape>
              <w10:wrap anchorx="page" anchory="page"/>
            </v:group>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8A31227"/>
    <w:multiLevelType w:val="hybridMultilevel"/>
    <w:tmpl w:val="99FE32D0"/>
    <w:lvl w:ilvl="0" w:tplc="3C18AF4C">
      <w:numFmt w:val="bullet"/>
      <w:lvlText w:val="•"/>
      <w:lvlJc w:val="left"/>
      <w:pPr>
        <w:ind w:left="400" w:hanging="400"/>
      </w:pPr>
      <w:rPr>
        <w:rFonts w:hint="default"/>
        <w:lang w:val="en-US" w:eastAsia="en-US" w:bidi="ar-SA"/>
      </w:rPr>
    </w:lvl>
    <w:lvl w:ilvl="1" w:tplc="04090003" w:tentative="1">
      <w:start w:val="1"/>
      <w:numFmt w:val="bullet"/>
      <w:lvlText w:val=""/>
      <w:lvlJc w:val="left"/>
      <w:pPr>
        <w:ind w:left="800" w:hanging="400"/>
      </w:pPr>
      <w:rPr>
        <w:rFonts w:ascii="Wingdings" w:hAnsi="Wingdings" w:hint="default"/>
      </w:rPr>
    </w:lvl>
    <w:lvl w:ilvl="2" w:tplc="04090005" w:tentative="1">
      <w:start w:val="1"/>
      <w:numFmt w:val="bullet"/>
      <w:lvlText w:val=""/>
      <w:lvlJc w:val="left"/>
      <w:pPr>
        <w:ind w:left="1200" w:hanging="400"/>
      </w:pPr>
      <w:rPr>
        <w:rFonts w:ascii="Wingdings" w:hAnsi="Wingdings" w:hint="default"/>
      </w:rPr>
    </w:lvl>
    <w:lvl w:ilvl="3" w:tplc="04090001" w:tentative="1">
      <w:start w:val="1"/>
      <w:numFmt w:val="bullet"/>
      <w:lvlText w:val=""/>
      <w:lvlJc w:val="left"/>
      <w:pPr>
        <w:ind w:left="1600" w:hanging="400"/>
      </w:pPr>
      <w:rPr>
        <w:rFonts w:ascii="Wingdings" w:hAnsi="Wingdings" w:hint="default"/>
      </w:rPr>
    </w:lvl>
    <w:lvl w:ilvl="4" w:tplc="04090003" w:tentative="1">
      <w:start w:val="1"/>
      <w:numFmt w:val="bullet"/>
      <w:lvlText w:val=""/>
      <w:lvlJc w:val="left"/>
      <w:pPr>
        <w:ind w:left="2000" w:hanging="400"/>
      </w:pPr>
      <w:rPr>
        <w:rFonts w:ascii="Wingdings" w:hAnsi="Wingdings" w:hint="default"/>
      </w:rPr>
    </w:lvl>
    <w:lvl w:ilvl="5" w:tplc="04090005" w:tentative="1">
      <w:start w:val="1"/>
      <w:numFmt w:val="bullet"/>
      <w:lvlText w:val=""/>
      <w:lvlJc w:val="left"/>
      <w:pPr>
        <w:ind w:left="2400" w:hanging="400"/>
      </w:pPr>
      <w:rPr>
        <w:rFonts w:ascii="Wingdings" w:hAnsi="Wingdings" w:hint="default"/>
      </w:rPr>
    </w:lvl>
    <w:lvl w:ilvl="6" w:tplc="04090001" w:tentative="1">
      <w:start w:val="1"/>
      <w:numFmt w:val="bullet"/>
      <w:lvlText w:val=""/>
      <w:lvlJc w:val="left"/>
      <w:pPr>
        <w:ind w:left="2800" w:hanging="400"/>
      </w:pPr>
      <w:rPr>
        <w:rFonts w:ascii="Wingdings" w:hAnsi="Wingdings" w:hint="default"/>
      </w:rPr>
    </w:lvl>
    <w:lvl w:ilvl="7" w:tplc="04090003" w:tentative="1">
      <w:start w:val="1"/>
      <w:numFmt w:val="bullet"/>
      <w:lvlText w:val=""/>
      <w:lvlJc w:val="left"/>
      <w:pPr>
        <w:ind w:left="3200" w:hanging="400"/>
      </w:pPr>
      <w:rPr>
        <w:rFonts w:ascii="Wingdings" w:hAnsi="Wingdings" w:hint="default"/>
      </w:rPr>
    </w:lvl>
    <w:lvl w:ilvl="8" w:tplc="04090005" w:tentative="1">
      <w:start w:val="1"/>
      <w:numFmt w:val="bullet"/>
      <w:lvlText w:val=""/>
      <w:lvlJc w:val="left"/>
      <w:pPr>
        <w:ind w:left="3600" w:hanging="400"/>
      </w:pPr>
      <w:rPr>
        <w:rFonts w:ascii="Wingdings" w:hAnsi="Wingdings" w:hint="default"/>
      </w:rPr>
    </w:lvl>
  </w:abstractNum>
  <w:abstractNum w:abstractNumId="1" w15:restartNumberingAfterBreak="0">
    <w:nsid w:val="3CF1212D"/>
    <w:multiLevelType w:val="hybridMultilevel"/>
    <w:tmpl w:val="D56ADCD2"/>
    <w:lvl w:ilvl="0" w:tplc="24F67A66">
      <w:numFmt w:val="bullet"/>
      <w:lvlText w:val="•"/>
      <w:lvlJc w:val="left"/>
      <w:pPr>
        <w:ind w:left="303" w:hanging="140"/>
      </w:pPr>
      <w:rPr>
        <w:rFonts w:ascii="Trebuchet MS" w:eastAsia="Trebuchet MS" w:hAnsi="Trebuchet MS" w:cs="Trebuchet MS" w:hint="default"/>
        <w:b w:val="0"/>
        <w:bCs w:val="0"/>
        <w:i w:val="0"/>
        <w:iCs w:val="0"/>
        <w:color w:val="414042"/>
        <w:spacing w:val="0"/>
        <w:w w:val="54"/>
        <w:sz w:val="28"/>
        <w:szCs w:val="28"/>
        <w:lang w:val="en-US" w:eastAsia="en-US" w:bidi="ar-SA"/>
      </w:rPr>
    </w:lvl>
    <w:lvl w:ilvl="1" w:tplc="3C18AF4C">
      <w:numFmt w:val="bullet"/>
      <w:lvlText w:val="•"/>
      <w:lvlJc w:val="left"/>
      <w:pPr>
        <w:ind w:left="1222" w:hanging="140"/>
      </w:pPr>
      <w:rPr>
        <w:rFonts w:hint="default"/>
        <w:lang w:val="en-US" w:eastAsia="en-US" w:bidi="ar-SA"/>
      </w:rPr>
    </w:lvl>
    <w:lvl w:ilvl="2" w:tplc="6E2CEEC6">
      <w:numFmt w:val="bullet"/>
      <w:lvlText w:val="•"/>
      <w:lvlJc w:val="left"/>
      <w:pPr>
        <w:ind w:left="2145" w:hanging="140"/>
      </w:pPr>
      <w:rPr>
        <w:rFonts w:hint="default"/>
        <w:lang w:val="en-US" w:eastAsia="en-US" w:bidi="ar-SA"/>
      </w:rPr>
    </w:lvl>
    <w:lvl w:ilvl="3" w:tplc="C4686668">
      <w:numFmt w:val="bullet"/>
      <w:lvlText w:val="•"/>
      <w:lvlJc w:val="left"/>
      <w:pPr>
        <w:ind w:left="3067" w:hanging="140"/>
      </w:pPr>
      <w:rPr>
        <w:rFonts w:hint="default"/>
        <w:lang w:val="en-US" w:eastAsia="en-US" w:bidi="ar-SA"/>
      </w:rPr>
    </w:lvl>
    <w:lvl w:ilvl="4" w:tplc="20DA96C2">
      <w:numFmt w:val="bullet"/>
      <w:lvlText w:val="•"/>
      <w:lvlJc w:val="left"/>
      <w:pPr>
        <w:ind w:left="3990" w:hanging="140"/>
      </w:pPr>
      <w:rPr>
        <w:rFonts w:hint="default"/>
        <w:lang w:val="en-US" w:eastAsia="en-US" w:bidi="ar-SA"/>
      </w:rPr>
    </w:lvl>
    <w:lvl w:ilvl="5" w:tplc="2B5A67CA">
      <w:numFmt w:val="bullet"/>
      <w:lvlText w:val="•"/>
      <w:lvlJc w:val="left"/>
      <w:pPr>
        <w:ind w:left="4913" w:hanging="140"/>
      </w:pPr>
      <w:rPr>
        <w:rFonts w:hint="default"/>
        <w:lang w:val="en-US" w:eastAsia="en-US" w:bidi="ar-SA"/>
      </w:rPr>
    </w:lvl>
    <w:lvl w:ilvl="6" w:tplc="50506DC4">
      <w:numFmt w:val="bullet"/>
      <w:lvlText w:val="•"/>
      <w:lvlJc w:val="left"/>
      <w:pPr>
        <w:ind w:left="5835" w:hanging="140"/>
      </w:pPr>
      <w:rPr>
        <w:rFonts w:hint="default"/>
        <w:lang w:val="en-US" w:eastAsia="en-US" w:bidi="ar-SA"/>
      </w:rPr>
    </w:lvl>
    <w:lvl w:ilvl="7" w:tplc="76F29B3C">
      <w:numFmt w:val="bullet"/>
      <w:lvlText w:val="•"/>
      <w:lvlJc w:val="left"/>
      <w:pPr>
        <w:ind w:left="6758" w:hanging="140"/>
      </w:pPr>
      <w:rPr>
        <w:rFonts w:hint="default"/>
        <w:lang w:val="en-US" w:eastAsia="en-US" w:bidi="ar-SA"/>
      </w:rPr>
    </w:lvl>
    <w:lvl w:ilvl="8" w:tplc="DCBE1804">
      <w:numFmt w:val="bullet"/>
      <w:lvlText w:val="•"/>
      <w:lvlJc w:val="left"/>
      <w:pPr>
        <w:ind w:left="7681" w:hanging="140"/>
      </w:pPr>
      <w:rPr>
        <w:rFonts w:hint="default"/>
        <w:lang w:val="en-US" w:eastAsia="en-US" w:bidi="ar-SA"/>
      </w:rPr>
    </w:lvl>
  </w:abstractNum>
  <w:abstractNum w:abstractNumId="2" w15:restartNumberingAfterBreak="0">
    <w:nsid w:val="5B5E6E84"/>
    <w:multiLevelType w:val="hybridMultilevel"/>
    <w:tmpl w:val="26004E36"/>
    <w:lvl w:ilvl="0" w:tplc="3C18AF4C">
      <w:numFmt w:val="bullet"/>
      <w:lvlText w:val="•"/>
      <w:lvlJc w:val="left"/>
      <w:pPr>
        <w:ind w:left="400" w:hanging="400"/>
      </w:pPr>
      <w:rPr>
        <w:rFonts w:hint="default"/>
        <w:lang w:val="en-US" w:eastAsia="en-US" w:bidi="ar-SA"/>
      </w:rPr>
    </w:lvl>
    <w:lvl w:ilvl="1" w:tplc="04090003" w:tentative="1">
      <w:start w:val="1"/>
      <w:numFmt w:val="bullet"/>
      <w:lvlText w:val=""/>
      <w:lvlJc w:val="left"/>
      <w:pPr>
        <w:ind w:left="800" w:hanging="400"/>
      </w:pPr>
      <w:rPr>
        <w:rFonts w:ascii="Wingdings" w:hAnsi="Wingdings" w:hint="default"/>
      </w:rPr>
    </w:lvl>
    <w:lvl w:ilvl="2" w:tplc="04090005" w:tentative="1">
      <w:start w:val="1"/>
      <w:numFmt w:val="bullet"/>
      <w:lvlText w:val=""/>
      <w:lvlJc w:val="left"/>
      <w:pPr>
        <w:ind w:left="1200" w:hanging="400"/>
      </w:pPr>
      <w:rPr>
        <w:rFonts w:ascii="Wingdings" w:hAnsi="Wingdings" w:hint="default"/>
      </w:rPr>
    </w:lvl>
    <w:lvl w:ilvl="3" w:tplc="04090001" w:tentative="1">
      <w:start w:val="1"/>
      <w:numFmt w:val="bullet"/>
      <w:lvlText w:val=""/>
      <w:lvlJc w:val="left"/>
      <w:pPr>
        <w:ind w:left="1600" w:hanging="400"/>
      </w:pPr>
      <w:rPr>
        <w:rFonts w:ascii="Wingdings" w:hAnsi="Wingdings" w:hint="default"/>
      </w:rPr>
    </w:lvl>
    <w:lvl w:ilvl="4" w:tplc="04090003" w:tentative="1">
      <w:start w:val="1"/>
      <w:numFmt w:val="bullet"/>
      <w:lvlText w:val=""/>
      <w:lvlJc w:val="left"/>
      <w:pPr>
        <w:ind w:left="2000" w:hanging="400"/>
      </w:pPr>
      <w:rPr>
        <w:rFonts w:ascii="Wingdings" w:hAnsi="Wingdings" w:hint="default"/>
      </w:rPr>
    </w:lvl>
    <w:lvl w:ilvl="5" w:tplc="04090005" w:tentative="1">
      <w:start w:val="1"/>
      <w:numFmt w:val="bullet"/>
      <w:lvlText w:val=""/>
      <w:lvlJc w:val="left"/>
      <w:pPr>
        <w:ind w:left="2400" w:hanging="400"/>
      </w:pPr>
      <w:rPr>
        <w:rFonts w:ascii="Wingdings" w:hAnsi="Wingdings" w:hint="default"/>
      </w:rPr>
    </w:lvl>
    <w:lvl w:ilvl="6" w:tplc="04090001" w:tentative="1">
      <w:start w:val="1"/>
      <w:numFmt w:val="bullet"/>
      <w:lvlText w:val=""/>
      <w:lvlJc w:val="left"/>
      <w:pPr>
        <w:ind w:left="2800" w:hanging="400"/>
      </w:pPr>
      <w:rPr>
        <w:rFonts w:ascii="Wingdings" w:hAnsi="Wingdings" w:hint="default"/>
      </w:rPr>
    </w:lvl>
    <w:lvl w:ilvl="7" w:tplc="04090003" w:tentative="1">
      <w:start w:val="1"/>
      <w:numFmt w:val="bullet"/>
      <w:lvlText w:val=""/>
      <w:lvlJc w:val="left"/>
      <w:pPr>
        <w:ind w:left="3200" w:hanging="400"/>
      </w:pPr>
      <w:rPr>
        <w:rFonts w:ascii="Wingdings" w:hAnsi="Wingdings" w:hint="default"/>
      </w:rPr>
    </w:lvl>
    <w:lvl w:ilvl="8" w:tplc="04090005" w:tentative="1">
      <w:start w:val="1"/>
      <w:numFmt w:val="bullet"/>
      <w:lvlText w:val=""/>
      <w:lvlJc w:val="left"/>
      <w:pPr>
        <w:ind w:left="3600" w:hanging="400"/>
      </w:pPr>
      <w:rPr>
        <w:rFonts w:ascii="Wingdings" w:hAnsi="Wingdings" w:hint="default"/>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800"/>
  <w:displayHorizontalDrawingGridEvery w:val="0"/>
  <w:displayVerticalDrawingGridEvery w:val="2"/>
  <w:noPunctuationKerning/>
  <w:characterSpacingControl w:val="doNotCompress"/>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B2F02"/>
    <w:rsid w:val="000B2F02"/>
    <w:rsid w:val="00287B14"/>
    <w:rsid w:val="008E79C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19DD0E2"/>
  <w15:chartTrackingRefBased/>
  <w15:docId w15:val="{142F9061-8B35-4462-9DD0-8E57717720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Cs w:val="22"/>
        <w:lang w:val="en-US" w:eastAsia="ko-KR" w:bidi="ar-SA"/>
      </w:rPr>
    </w:rPrDefault>
    <w:pPrDefault>
      <w:pPr>
        <w:spacing w:after="160" w:line="259"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B2F02"/>
    <w:pPr>
      <w:widowControl w:val="0"/>
      <w:autoSpaceDE w:val="0"/>
      <w:autoSpaceDN w:val="0"/>
      <w:spacing w:after="0" w:line="240" w:lineRule="auto"/>
      <w:jc w:val="left"/>
    </w:pPr>
    <w:rPr>
      <w:rFonts w:ascii="Arial" w:eastAsia="Arial" w:hAnsi="Arial" w:cs="Arial"/>
      <w:kern w:val="0"/>
      <w:sz w:val="22"/>
      <w:lang w:eastAsia="en-US"/>
    </w:rPr>
  </w:style>
  <w:style w:type="paragraph" w:styleId="1">
    <w:name w:val="heading 1"/>
    <w:basedOn w:val="a"/>
    <w:link w:val="1Char"/>
    <w:uiPriority w:val="9"/>
    <w:qFormat/>
    <w:rsid w:val="000B2F02"/>
    <w:pPr>
      <w:ind w:left="101"/>
      <w:outlineLvl w:val="0"/>
    </w:pPr>
    <w:rPr>
      <w:rFonts w:ascii="Verdana" w:eastAsia="Verdana" w:hAnsi="Verdana" w:cs="Verdana"/>
      <w:b/>
      <w:bCs/>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0B2F02"/>
    <w:pPr>
      <w:tabs>
        <w:tab w:val="center" w:pos="4513"/>
        <w:tab w:val="right" w:pos="9026"/>
      </w:tabs>
      <w:snapToGrid w:val="0"/>
    </w:pPr>
  </w:style>
  <w:style w:type="character" w:customStyle="1" w:styleId="Char">
    <w:name w:val="머리글 Char"/>
    <w:basedOn w:val="a0"/>
    <w:link w:val="a3"/>
    <w:uiPriority w:val="99"/>
    <w:rsid w:val="000B2F02"/>
  </w:style>
  <w:style w:type="paragraph" w:styleId="a4">
    <w:name w:val="footer"/>
    <w:basedOn w:val="a"/>
    <w:link w:val="Char0"/>
    <w:uiPriority w:val="99"/>
    <w:unhideWhenUsed/>
    <w:rsid w:val="000B2F02"/>
    <w:pPr>
      <w:tabs>
        <w:tab w:val="center" w:pos="4513"/>
        <w:tab w:val="right" w:pos="9026"/>
      </w:tabs>
      <w:snapToGrid w:val="0"/>
    </w:pPr>
  </w:style>
  <w:style w:type="character" w:customStyle="1" w:styleId="Char0">
    <w:name w:val="바닥글 Char"/>
    <w:basedOn w:val="a0"/>
    <w:link w:val="a4"/>
    <w:uiPriority w:val="99"/>
    <w:rsid w:val="000B2F02"/>
  </w:style>
  <w:style w:type="character" w:customStyle="1" w:styleId="1Char">
    <w:name w:val="제목 1 Char"/>
    <w:basedOn w:val="a0"/>
    <w:link w:val="1"/>
    <w:uiPriority w:val="9"/>
    <w:rsid w:val="000B2F02"/>
    <w:rPr>
      <w:rFonts w:ascii="Verdana" w:eastAsia="Verdana" w:hAnsi="Verdana" w:cs="Verdana"/>
      <w:b/>
      <w:bCs/>
      <w:kern w:val="0"/>
      <w:sz w:val="44"/>
      <w:szCs w:val="44"/>
      <w:lang w:eastAsia="en-US"/>
    </w:rPr>
  </w:style>
  <w:style w:type="paragraph" w:styleId="a5">
    <w:name w:val="Body Text"/>
    <w:basedOn w:val="a"/>
    <w:link w:val="Char1"/>
    <w:uiPriority w:val="1"/>
    <w:qFormat/>
    <w:rsid w:val="000B2F02"/>
    <w:rPr>
      <w:rFonts w:ascii="Trebuchet MS" w:eastAsia="Trebuchet MS" w:hAnsi="Trebuchet MS" w:cs="Trebuchet MS"/>
      <w:sz w:val="28"/>
      <w:szCs w:val="28"/>
    </w:rPr>
  </w:style>
  <w:style w:type="character" w:customStyle="1" w:styleId="Char1">
    <w:name w:val="본문 Char"/>
    <w:basedOn w:val="a0"/>
    <w:link w:val="a5"/>
    <w:uiPriority w:val="1"/>
    <w:rsid w:val="000B2F02"/>
    <w:rPr>
      <w:rFonts w:ascii="Trebuchet MS" w:eastAsia="Trebuchet MS" w:hAnsi="Trebuchet MS" w:cs="Trebuchet MS"/>
      <w:kern w:val="0"/>
      <w:sz w:val="28"/>
      <w:szCs w:val="28"/>
      <w:lang w:eastAsia="en-US"/>
    </w:rPr>
  </w:style>
  <w:style w:type="paragraph" w:styleId="a6">
    <w:name w:val="Title"/>
    <w:basedOn w:val="a"/>
    <w:link w:val="Char2"/>
    <w:uiPriority w:val="10"/>
    <w:qFormat/>
    <w:rsid w:val="000B2F02"/>
    <w:pPr>
      <w:ind w:left="101"/>
    </w:pPr>
    <w:rPr>
      <w:rFonts w:ascii="Verdana" w:eastAsia="Verdana" w:hAnsi="Verdana" w:cs="Verdana"/>
      <w:b/>
      <w:bCs/>
      <w:sz w:val="66"/>
      <w:szCs w:val="66"/>
    </w:rPr>
  </w:style>
  <w:style w:type="character" w:customStyle="1" w:styleId="Char2">
    <w:name w:val="제목 Char"/>
    <w:basedOn w:val="a0"/>
    <w:link w:val="a6"/>
    <w:uiPriority w:val="10"/>
    <w:rsid w:val="000B2F02"/>
    <w:rPr>
      <w:rFonts w:ascii="Verdana" w:eastAsia="Verdana" w:hAnsi="Verdana" w:cs="Verdana"/>
      <w:b/>
      <w:bCs/>
      <w:kern w:val="0"/>
      <w:sz w:val="66"/>
      <w:szCs w:val="66"/>
      <w:lang w:eastAsia="en-US"/>
    </w:rPr>
  </w:style>
  <w:style w:type="paragraph" w:styleId="a7">
    <w:name w:val="List Paragraph"/>
    <w:basedOn w:val="a"/>
    <w:uiPriority w:val="1"/>
    <w:qFormat/>
    <w:rsid w:val="000B2F02"/>
    <w:pPr>
      <w:spacing w:before="57"/>
      <w:ind w:left="243" w:right="110" w:hanging="120"/>
    </w:pPr>
    <w:rPr>
      <w:rFonts w:ascii="Trebuchet MS" w:eastAsia="Trebuchet MS" w:hAnsi="Trebuchet MS" w:cs="Trebuchet MS"/>
    </w:rPr>
  </w:style>
  <w:style w:type="character" w:styleId="a8">
    <w:name w:val="Hyperlink"/>
    <w:basedOn w:val="a0"/>
    <w:uiPriority w:val="99"/>
    <w:unhideWhenUsed/>
    <w:rsid w:val="000B2F02"/>
    <w:rPr>
      <w:color w:val="0563C1" w:themeColor="hyperlink"/>
      <w:u w:val="single"/>
    </w:rPr>
  </w:style>
  <w:style w:type="character" w:styleId="a9">
    <w:name w:val="Unresolved Mention"/>
    <w:basedOn w:val="a0"/>
    <w:uiPriority w:val="99"/>
    <w:semiHidden/>
    <w:unhideWhenUsed/>
    <w:rsid w:val="000B2F0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govinfo.gov/content/pkg/PLAW-115publ232/pdf/PLAW-115publ232.pdf" TargetMode="External"/><Relationship Id="rId3" Type="http://schemas.openxmlformats.org/officeDocument/2006/relationships/settings" Target="settings.xml"/><Relationship Id="rId7" Type="http://schemas.openxmlformats.org/officeDocument/2006/relationships/hyperlink" Target="https://ecfr.federalregister.gov/current/title-2/subtitle-A/chapter-II/part-200/subpart-C/section-200.216"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s://www.hanwhavision.com/en/support/data-center/catalog/"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17</TotalTime>
  <Pages>1</Pages>
  <Words>267</Words>
  <Characters>1528</Characters>
  <Application>Microsoft Office Word</Application>
  <DocSecurity>0</DocSecurity>
  <Lines>12</Lines>
  <Paragraphs>3</Paragraphs>
  <ScaleCrop>false</ScaleCrop>
  <Company/>
  <LinksUpToDate>false</LinksUpToDate>
  <CharactersWithSpaces>1792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조연서(Yeonseo Cho)</dc:creator>
  <cp:keywords/>
  <dc:description/>
  <cp:lastModifiedBy>조연서(Yeonseo Cho)</cp:lastModifiedBy>
  <cp:revision>2</cp:revision>
  <cp:lastPrinted>2024-09-05T00:12:00Z</cp:lastPrinted>
  <dcterms:created xsi:type="dcterms:W3CDTF">2024-09-04T04:15:00Z</dcterms:created>
  <dcterms:modified xsi:type="dcterms:W3CDTF">2024-09-05T00:16:00Z</dcterms:modified>
</cp:coreProperties>
</file>